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96-6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raßenbauarbeiten, Straßenerhaltungsmaßnahmen - Asphaltmaßnahmen 2026-2028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ei der Ausschreibung handelt es sich um Straßenerhaltungsmaßnahmen im öffentlichen Raum der Stadt Münster.
Diese umfassen ca. 20 Einzelbaumaßnahmen &lt; 1 000 m2 und ca. 25 Einzelbaumaßnahmen &gt; 1 000 m2. Alle Einzelbaumaßnahmen liegen verteilt im Stadtgebiet von Münster. Der Ausführungszeitraum für die Maßnahmen beträgt ca. 24 Monate.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